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26-169</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419</w:t>
      </w:r>
    </w:p>
    <w:p>
      <w:pPr>
        <w:spacing w:before="0" w:after="0" w:line="480"/>
        <w:ind w:left="120"/>
        <w:jc w:val="center"/>
      </w:pPr>
      <w:r>
        <w:rPr>
          <w:rFonts w:ascii="Times New Roman" w:hAnsi="Times New Roman"/>
          <w:b w:val="false"/>
          <w:i w:val="false"/>
          <w:color w:val="000000"/>
          <w:sz w:val="24"/>
        </w:rPr>
        <w:t>“Survey and Registration of Cultural Resources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15.121</w:t>
      </w:r>
    </w:p>
    <w:p>
      <w:pPr>
        <w:spacing w:before="0" w:after="0" w:line="480"/>
        <w:ind w:left="120"/>
        <w:jc w:val="both"/>
      </w:pPr>
      <w:r>
        <w:rPr>
          <w:rFonts w:ascii="Times New Roman" w:hAnsi="Times New Roman"/>
          <w:b w:val="false"/>
          <w:i w:val="false"/>
          <w:color w:val="000000"/>
          <w:sz w:val="24"/>
        </w:rPr>
        <w:t>State or federal law(s) implemented by the rulemaking: Iowa Code section 15.121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9:15 to 9:30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 xml:space="preserve">can be found at </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Reid Nennig</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reid.nennig@iowafinance.com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adopt a new Chapter 419. The chapter will replace 223—Chapter 41, which was adopted by the State Historic Preservation Office prior to its alignment with the Authority in 2023 Iowa Acts, Senate File 514. 223—Chapter 41 is proposed to be rescinded as part of a concurrent rulemaking (</w:t>
      </w:r>
      <w:r>
        <w:rPr>
          <w:rFonts w:ascii="Times New Roman" w:hAnsi="Times New Roman"/>
          <w:b/>
          <w:i w:val="false"/>
          <w:color w:val="000000"/>
          <w:sz w:val="24"/>
        </w:rPr>
        <w:t>RA 26-174</w:t>
      </w:r>
      <w:r>
        <w:rPr>
          <w:rFonts w:ascii="Times New Roman" w:hAnsi="Times New Roman"/>
          <w:b w:val="false"/>
          <w:i w:val="false"/>
          <w:color w:val="000000"/>
          <w:sz w:val="24"/>
        </w:rPr>
        <w:t>, IAB 7/22/26).</w:t>
      </w:r>
    </w:p>
    <w:p>
      <w:pPr>
        <w:spacing w:before="0" w:after="0" w:line="480"/>
        <w:ind w:left="120"/>
        <w:jc w:val="both"/>
      </w:pPr>
      <w:r>
        <w:rPr>
          <w:rFonts w:ascii="Times New Roman" w:hAnsi="Times New Roman"/>
          <w:b w:val="false"/>
          <w:i w:val="false"/>
          <w:color w:val="000000"/>
          <w:sz w:val="24"/>
        </w:rPr>
        <w:t>    The new chapter describes the survey and registration of cultural resources programs administered by the Office and staff of the Office. The updated chapter will be clearer and more concise throughout, including the addition of definitions. Language will be added to the chapter to address records in the Iowa site inventory.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Entities conducting surveys will bear the costs of the proposed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Entities conducting surveys will benefit from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Entities conducting surveys may require staff time to complete a survey in accordance with the State Historic Preservation Office’s standards.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costs to the State to administer the program are proportional to the benefit of facilitating comprehensive preservation planning, Section 106 review, information sharing, consistency in survey standards, and listing of historic properties on the National Register of Historic Places.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Staff time is required to review surveys and make them available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is not anticipated to have an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to the State to administer the program are proportional to the benefit of facilitating comprehensive preservation planning, Section 106 review, information sharing, consistency in survey standards, and listing of historic properties on the National Register of Historic Places.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Authority has not identified any less costly methods or less intrusive methods for administering the program.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Authority did not consider any other methods.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The Authority did not consider any other methods.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impacts only small businesses conducting surveys. The requirements are no more stringent than necessary to implement the purposes of the program and to comply with federal statute and regulations relating to surveys. The rulemaking does not establish schedules or deadlines for small businesses. The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261—Chapter 419</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419</w:t>
      </w:r>
    </w:p>
    <w:p>
      <w:pPr>
        <w:spacing w:before="0" w:after="0" w:line="480"/>
        <w:ind w:left="120"/>
        <w:jc w:val="center"/>
      </w:pPr>
      <w:r>
        <w:rPr>
          <w:rFonts w:ascii="Times New Roman" w:hAnsi="Times New Roman"/>
          <w:b w:val="false"/>
          <w:i w:val="false"/>
          <w:color w:val="000000"/>
          <w:sz w:val="21"/>
        </w:rPr>
        <w:t>SURVEY AND REGISTRATION OF CULTURAL RESOURCES PROGRAM</w:t>
      </w:r>
    </w:p>
    <w:p>
      <w:pPr>
        <w:spacing w:before="0" w:after="0" w:line="480"/>
        <w:ind w:left="120"/>
        <w:jc w:val="both"/>
      </w:pPr>
      <w:r>
        <w:rPr>
          <w:rFonts w:ascii="Times New Roman" w:hAnsi="Times New Roman"/>
          <w:b/>
          <w:i w:val="false"/>
          <w:color w:val="000000"/>
          <w:sz w:val="24"/>
        </w:rPr>
        <w:t>261—419.1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National Historic Preservation Act of 1966, Public Law 89-665,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economic development authority created in Iowa Code section </w:t>
      </w:r>
      <w:hyperlink r:id="rId6">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“Historic preservation plan”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comprehensive statewide historic preservation plan required by the Act.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site inventory”</w:t>
      </w:r>
      <w:r>
        <w:rPr>
          <w:rFonts w:ascii="Times New Roman" w:hAnsi="Times New Roman"/>
          <w:b w:val="false"/>
          <w:i/>
          <w:color w:val="000000"/>
          <w:sz w:val="24"/>
          <w:u w:val="single"/>
        </w:rPr>
        <w:t> </w:t>
      </w:r>
      <w:r>
        <w:rPr>
          <w:rFonts w:ascii="Times New Roman" w:hAnsi="Times New Roman"/>
          <w:b w:val="false"/>
          <w:i w:val="false"/>
          <w:color w:val="000000"/>
          <w:sz w:val="24"/>
        </w:rPr>
        <w:t>means the repository of architectural, archaeological, and historical survey data maintained by the state historic preservation office, including but not limited to survey data collected through projects funded by the state historic preservation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officer appointed and certified pursuant to Iowa Code section </w:t>
      </w:r>
      <w:hyperlink r:id="rId7">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261—419.2</w:t>
      </w:r>
      <w:r>
        <w:rPr>
          <w:rFonts w:ascii="Times New Roman" w:hAnsi="Times New Roman"/>
          <w:b/>
          <w:i w:val="false"/>
          <w:color w:val="000000"/>
          <w:sz w:val="24"/>
        </w:rPr>
        <w:t xml:space="preserve">(15) </w:t>
      </w:r>
      <w:r>
        <w:rPr>
          <w:rFonts w:ascii="Times New Roman" w:hAnsi="Times New Roman"/>
          <w:b/>
          <w:i w:val="false"/>
          <w:color w:val="000000"/>
          <w:sz w:val="24"/>
        </w:rPr>
        <w:t xml:space="preserve">Regulations. </w:t>
      </w:r>
      <w:r>
        <w:rPr>
          <w:rFonts w:ascii="Times New Roman" w:hAnsi="Times New Roman"/>
          <w:b w:val="false"/>
          <w:i w:val="false"/>
          <w:color w:val="000000"/>
          <w:sz w:val="24"/>
        </w:rPr>
        <w:t xml:space="preserve">The Iowa cultural resources survey and registration program shall operate in accordance with the Act and </w:t>
      </w:r>
      <w:r>
        <w:rPr>
          <w:rFonts w:ascii="Times New Roman" w:hAnsi="Times New Roman"/>
          <w:b w:val="false"/>
          <w:i w:val="false"/>
          <w:color w:val="000000"/>
          <w:sz w:val="24"/>
        </w:rPr>
        <w:t>36 CFR Part 800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261—419.3</w:t>
      </w:r>
      <w:r>
        <w:rPr>
          <w:rFonts w:ascii="Times New Roman" w:hAnsi="Times New Roman"/>
          <w:b/>
          <w:i w:val="false"/>
          <w:color w:val="000000"/>
          <w:sz w:val="24"/>
        </w:rPr>
        <w:t xml:space="preserve">(15) </w:t>
      </w:r>
      <w:r>
        <w:rPr>
          <w:rFonts w:ascii="Times New Roman" w:hAnsi="Times New Roman"/>
          <w:b/>
          <w:i w:val="false"/>
          <w:color w:val="000000"/>
          <w:sz w:val="24"/>
        </w:rPr>
        <w:t xml:space="preserve">Survey selection.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419.3(1)</w:t>
      </w:r>
      <w:r>
        <w:rPr>
          <w:rFonts w:ascii="Times New Roman" w:hAnsi="Times New Roman"/>
          <w:b w:val="false"/>
          <w:i w:val="false"/>
          <w:color w:val="000000"/>
          <w:sz w:val="24"/>
        </w:rPr>
        <w:t> </w:t>
      </w:r>
      <w:r>
        <w:rPr>
          <w:rFonts w:ascii="Times New Roman" w:hAnsi="Times New Roman"/>
          <w:b w:val="false"/>
          <w:i w:val="false"/>
          <w:color w:val="000000"/>
          <w:sz w:val="24"/>
        </w:rPr>
        <w:t>Surveys may be conducted by state historic preservation office staff, certified local governments, or pursuant to subgrants to consultants or interagency agreements with federal, state, and local governmental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419.3(2)</w:t>
      </w:r>
      <w:r>
        <w:rPr>
          <w:rFonts w:ascii="Times New Roman" w:hAnsi="Times New Roman"/>
          <w:b w:val="false"/>
          <w:i w:val="false"/>
          <w:color w:val="000000"/>
          <w:sz w:val="24"/>
        </w:rPr>
        <w:t> </w:t>
      </w:r>
      <w:r>
        <w:rPr>
          <w:rFonts w:ascii="Times New Roman" w:hAnsi="Times New Roman"/>
          <w:b w:val="false"/>
          <w:i w:val="false"/>
          <w:color w:val="000000"/>
          <w:sz w:val="24"/>
        </w:rPr>
        <w:t>Selection of survey areas or topics, and the inclusion of survey results in the survey files, shall be determined by the priorities of the historic preservation plan or pursuant to federal and state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419.3(3)</w:t>
      </w:r>
      <w:r>
        <w:rPr>
          <w:rFonts w:ascii="Times New Roman" w:hAnsi="Times New Roman"/>
          <w:b w:val="false"/>
          <w:i w:val="false"/>
          <w:color w:val="000000"/>
          <w:sz w:val="24"/>
        </w:rPr>
        <w:t> </w:t>
      </w:r>
      <w:r>
        <w:rPr>
          <w:rFonts w:ascii="Times New Roman" w:hAnsi="Times New Roman"/>
          <w:b w:val="false"/>
          <w:i w:val="false"/>
          <w:color w:val="000000"/>
          <w:sz w:val="24"/>
        </w:rPr>
        <w:t>The SHPO shall make available to the public, on request, federal and state guidelines for planning and conducting surveys of historic properties, appropriate forms, and guidelines for the reporting of results to the SHPO. These specifications and guidelines shall be used in all historic property surveys conducted or funded either partially or totally by the state historic preservation office. For other surveys, adoption of these specifications and guidelines is strongly recommended to facilitate comprehensive preservation planning, Section 106 review, information sharing, consistency in survey standards, and listing of historic properties on the National Register of Historic Places.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419.3(4)</w:t>
      </w:r>
      <w:r>
        <w:rPr>
          <w:rFonts w:ascii="Times New Roman" w:hAnsi="Times New Roman"/>
          <w:b w:val="false"/>
          <w:i w:val="false"/>
          <w:color w:val="000000"/>
          <w:sz w:val="24"/>
        </w:rPr>
        <w:t> </w:t>
      </w:r>
      <w:r>
        <w:rPr>
          <w:rFonts w:ascii="Times New Roman" w:hAnsi="Times New Roman"/>
          <w:b w:val="false"/>
          <w:i w:val="false"/>
          <w:color w:val="000000"/>
          <w:sz w:val="24"/>
        </w:rPr>
        <w:t xml:space="preserve">State historic preservation office staff may assist federal and state agencies, local governments, and individuals in survey planning, the preparation of requests for proposals, and proposal evaluation. </w:t>
      </w:r>
    </w:p>
    <w:p>
      <w:pPr>
        <w:spacing w:before="0" w:after="0" w:line="480"/>
        <w:ind w:left="120"/>
        <w:jc w:val="both"/>
      </w:pPr>
      <w:r>
        <w:rPr>
          <w:rFonts w:ascii="Times New Roman" w:hAnsi="Times New Roman"/>
          <w:b/>
          <w:i w:val="false"/>
          <w:color w:val="000000"/>
          <w:sz w:val="24"/>
        </w:rPr>
        <w:t>261—419.4</w:t>
      </w:r>
      <w:r>
        <w:rPr>
          <w:rFonts w:ascii="Times New Roman" w:hAnsi="Times New Roman"/>
          <w:b/>
          <w:i w:val="false"/>
          <w:color w:val="000000"/>
          <w:sz w:val="24"/>
        </w:rPr>
        <w:t xml:space="preserve">(15) </w:t>
      </w:r>
      <w:r>
        <w:rPr>
          <w:rFonts w:ascii="Times New Roman" w:hAnsi="Times New Roman"/>
          <w:b/>
          <w:i w:val="false"/>
          <w:color w:val="000000"/>
          <w:sz w:val="24"/>
        </w:rPr>
        <w:t xml:space="preserve">Survey funding.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419.4(1)</w:t>
      </w:r>
      <w:r>
        <w:rPr>
          <w:rFonts w:ascii="Times New Roman" w:hAnsi="Times New Roman"/>
          <w:b w:val="false"/>
          <w:i w:val="false"/>
          <w:color w:val="000000"/>
          <w:sz w:val="24"/>
        </w:rPr>
        <w:t> </w:t>
      </w:r>
      <w:r>
        <w:rPr>
          <w:rFonts w:ascii="Times New Roman" w:hAnsi="Times New Roman"/>
          <w:b w:val="false"/>
          <w:i w:val="false"/>
          <w:color w:val="000000"/>
          <w:sz w:val="24"/>
        </w:rPr>
        <w:t>Surveys funded by the state historic preservation office shall be conducted by principal investigators who meet the qualifications set forth in the Secretary of Interior Professional Qualification Standards. The same standards are recommended for investigators for other surveys.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419.4(2)</w:t>
      </w:r>
      <w:r>
        <w:rPr>
          <w:rFonts w:ascii="Times New Roman" w:hAnsi="Times New Roman"/>
          <w:b w:val="false"/>
          <w:i w:val="false"/>
          <w:color w:val="000000"/>
          <w:sz w:val="24"/>
        </w:rPr>
        <w:t> </w:t>
      </w:r>
      <w:r>
        <w:rPr>
          <w:rFonts w:ascii="Times New Roman" w:hAnsi="Times New Roman"/>
          <w:b w:val="false"/>
          <w:i w:val="false"/>
          <w:color w:val="000000"/>
          <w:sz w:val="24"/>
        </w:rPr>
        <w:t xml:space="preserve">All survey projects to be conducted by a consultant shall be awarded in a competitive bidding process. </w:t>
      </w:r>
    </w:p>
    <w:p>
      <w:pPr>
        <w:spacing w:before="0" w:after="0" w:line="480"/>
        <w:ind w:left="120"/>
        <w:jc w:val="both"/>
      </w:pPr>
      <w:r>
        <w:rPr>
          <w:rFonts w:ascii="Times New Roman" w:hAnsi="Times New Roman"/>
          <w:b/>
          <w:i w:val="false"/>
          <w:color w:val="000000"/>
          <w:sz w:val="24"/>
        </w:rPr>
        <w:t>261—419.5</w:t>
      </w:r>
      <w:r>
        <w:rPr>
          <w:rFonts w:ascii="Times New Roman" w:hAnsi="Times New Roman"/>
          <w:b/>
          <w:i w:val="false"/>
          <w:color w:val="000000"/>
          <w:sz w:val="24"/>
        </w:rPr>
        <w:t xml:space="preserve">(15) </w:t>
      </w:r>
      <w:r>
        <w:rPr>
          <w:rFonts w:ascii="Times New Roman" w:hAnsi="Times New Roman"/>
          <w:b/>
          <w:i w:val="false"/>
          <w:color w:val="000000"/>
          <w:sz w:val="24"/>
        </w:rPr>
        <w:t xml:space="preserve">Iowa site inventory.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419.5(1)</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in the Iowa site inventory may be stored indefinitely and subject to open records requests. Photographs, images, digital media, and all other materials submitted to the Iowa site inventory become sublicensable property of the SHPO and may be reproduced without permission, in perpetuity, royalty-free.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419.5(2)</w:t>
      </w:r>
      <w:r>
        <w:rPr>
          <w:rFonts w:ascii="Times New Roman" w:hAnsi="Times New Roman"/>
          <w:b w:val="false"/>
          <w:i w:val="false"/>
          <w:color w:val="000000"/>
          <w:sz w:val="24"/>
        </w:rPr>
        <w:t> </w:t>
      </w:r>
      <w:r>
        <w:rPr>
          <w:rFonts w:ascii="Times New Roman" w:hAnsi="Times New Roman"/>
          <w:b w:val="false"/>
          <w:i w:val="false"/>
          <w:color w:val="000000"/>
          <w:sz w:val="24"/>
        </w:rPr>
        <w:t>Individuals are solely responsible for determining copyright status and for obtaining any permissions that may be required for the proposed use of records in the Iowa site inventory.</w:t>
      </w:r>
    </w:p>
    <w:p>
      <w:pPr>
        <w:spacing w:before="0" w:after="0" w:line="480"/>
        <w:ind w:left="120"/>
        <w:jc w:val="both"/>
      </w:pPr>
      <w:r>
        <w:rPr>
          <w:rFonts w:ascii="Times New Roman" w:hAnsi="Times New Roman"/>
          <w:b/>
          <w:i w:val="false"/>
          <w:color w:val="000000"/>
          <w:sz w:val="24"/>
        </w:rPr>
        <w:t>261—419.6</w:t>
      </w:r>
      <w:r>
        <w:rPr>
          <w:rFonts w:ascii="Times New Roman" w:hAnsi="Times New Roman"/>
          <w:b/>
          <w:i w:val="false"/>
          <w:color w:val="000000"/>
          <w:sz w:val="24"/>
        </w:rPr>
        <w:t xml:space="preserve">(15) </w:t>
      </w:r>
      <w:r>
        <w:rPr>
          <w:rFonts w:ascii="Times New Roman" w:hAnsi="Times New Roman"/>
          <w:b/>
          <w:i w:val="false"/>
          <w:color w:val="000000"/>
          <w:sz w:val="24"/>
        </w:rPr>
        <w:t xml:space="preserve">Confidentiality of archaeological site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419.6(1)</w:t>
      </w:r>
      <w:r>
        <w:rPr>
          <w:rFonts w:ascii="Times New Roman" w:hAnsi="Times New Roman"/>
          <w:b w:val="false"/>
          <w:i w:val="false"/>
          <w:color w:val="000000"/>
          <w:sz w:val="24"/>
        </w:rPr>
        <w:t> </w:t>
      </w:r>
      <w:r>
        <w:rPr>
          <w:rFonts w:ascii="Times New Roman" w:hAnsi="Times New Roman"/>
          <w:b w:val="false"/>
          <w:i w:val="false"/>
          <w:color w:val="000000"/>
          <w:sz w:val="24"/>
        </w:rPr>
        <w:t xml:space="preserve">In accordance with Iowa Code section </w:t>
      </w:r>
      <w:hyperlink r:id="rId8">
        <w:r>
          <w:rPr>
            <w:rStyle w:val="Hyperlink"/>
            <w:rFonts w:ascii="Times New Roman" w:hAnsi="Times New Roman"/>
            <w:b w:val="false"/>
            <w:i w:val="false"/>
            <w:color w:val="000000"/>
            <w:sz w:val="24"/>
          </w:rPr>
          <w:t>22.7(21)</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685—Chapter 14</w:t>
        </w:r>
      </w:hyperlink>
      <w:r>
        <w:rPr>
          <w:rFonts w:ascii="Times New Roman" w:hAnsi="Times New Roman"/>
          <w:b w:val="false"/>
          <w:i w:val="false"/>
          <w:color w:val="000000"/>
          <w:sz w:val="24"/>
        </w:rPr>
        <w:t>, specific locational information on archaeological resources is confidential unless approved for disclosure. SHPO will consult with the office of the state archaeologist on the release of locational information on archaeological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419.6(2)</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any of the preceding subrule, the SHPO, or designee, shall retain the authority to deny access to the Iowa site records, site location maps, and all supporting documents if the release is believed to result in an unreasonable risk of damage or loss of the resource.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419.6(3)</w:t>
      </w:r>
      <w:r>
        <w:rPr>
          <w:rFonts w:ascii="Times New Roman" w:hAnsi="Times New Roman"/>
          <w:b w:val="false"/>
          <w:i w:val="false"/>
          <w:color w:val="000000"/>
          <w:sz w:val="24"/>
        </w:rPr>
        <w:t> </w:t>
      </w:r>
      <w:r>
        <w:rPr>
          <w:rFonts w:ascii="Times New Roman" w:hAnsi="Times New Roman"/>
          <w:b w:val="false"/>
          <w:i w:val="false"/>
          <w:color w:val="000000"/>
          <w:sz w:val="24"/>
        </w:rPr>
        <w:t>The state historic preservation office may enter into agreements with other entities, including but not limited to the state archaeologist, to obtain or make available records for planning purposes.</w:t>
      </w:r>
    </w:p>
    <w:p>
      <w:pPr>
        <w:spacing w:before="210" w:after="0" w:line="480"/>
        <w:ind w:left="120"/>
        <w:jc w:val="both"/>
      </w:pPr>
      <w:r>
        <w:rPr>
          <w:rFonts w:ascii="Times New Roman" w:hAnsi="Times New Roman"/>
          <w:b/>
          <w:i w:val="false"/>
          <w:color w:val="000000"/>
          <w:sz w:val="24"/>
        </w:rPr>
        <w:t>261—419.7</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or Code of Federal Regulations, or the Secretary of Interior Professional Qualification Standards in this chapter are as in effect on [effective date of the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0">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reid.nennig@iowafinance.com"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121.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ac/chapter/685.14.pdf" Type="http://schemas.openxmlformats.org/officeDocument/2006/relationships/hyperlink" Id="rId9"/>
    <Relationship TargetMode="External" Target="https://www.legis.iowa.gov/docs/ico/chapter/15.12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